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rPr>
          <w:rFonts w:ascii="Arial" w:hAnsi="Arial" w:cs="Arial"/>
          <w:b/>
          <w:bCs/>
        </w:rPr>
      </w:pPr>
      <w:r>
        <w:rPr>
          <w:noProof/>
          <w:sz w:val="36"/>
          <w:szCs w:val="36"/>
          <w:lang w:val="es-ES"/>
        </w:rPr>
        <w:drawing>
          <wp:inline distT="0" distB="0" distL="0" distR="0" wp14:anchorId="3A2A7A03" wp14:editId="671BD63F">
            <wp:extent cx="5731510" cy="3821212"/>
            <wp:effectExtent l="0" t="0" r="2540" b="8255"/>
            <wp:docPr id="1251388036" name="Picture 2" descr="Un grupo de personas juntando sus man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09AF9F70" w14:textId="4313B8F6" w:rsidR="003204CE" w:rsidRPr="003204CE" w:rsidRDefault="003204CE" w:rsidP="003204CE">
      <w:pPr>
        <w:spacing w:after="0" w:line="240" w:lineRule="auto"/>
        <w:rPr>
          <w:rFonts w:ascii="Montserrat SemiBold" w:eastAsia="Calibri" w:hAnsi="Montserrat SemiBold" w:cs="Arial"/>
          <w:color w:val="545454"/>
          <w:sz w:val="48"/>
          <w:szCs w:val="48"/>
        </w:rPr>
      </w:pPr>
      <w:r>
        <w:rPr>
          <w:rFonts w:ascii="Montserrat SemiBold" w:eastAsia="Calibri" w:hAnsi="Montserrat SemiBold" w:cs="Arial"/>
          <w:color w:val="545454"/>
          <w:sz w:val="48"/>
          <w:szCs w:val="48"/>
          <w:lang w:val="es-ES"/>
        </w:rPr>
        <w:t>Informe sobre resultados e integración de la igualdad: Versión de lectura fácil</w:t>
      </w:r>
    </w:p>
    <w:p w14:paraId="1AFFF0D6" w14:textId="3C6355C4" w:rsidR="0077030E" w:rsidRDefault="003204CE">
      <w:pPr>
        <w:rPr>
          <w:rFonts w:ascii="Montserrat Light" w:eastAsia="Calibri" w:hAnsi="Montserrat Light" w:cs="Arial"/>
          <w:caps/>
          <w:color w:val="262626"/>
          <w:sz w:val="36"/>
          <w:szCs w:val="36"/>
        </w:rPr>
      </w:pPr>
      <w:r>
        <w:rPr>
          <w:rFonts w:ascii="Montserrat Light" w:eastAsia="Calibri" w:hAnsi="Montserrat Light" w:cs="Arial"/>
          <w:caps/>
          <w:color w:val="262626"/>
          <w:sz w:val="36"/>
          <w:szCs w:val="36"/>
          <w:lang w:val="es-ES"/>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57D952A1" w14:textId="77777777" w:rsidR="003204CE" w:rsidRDefault="003204CE">
      <w:pPr>
        <w:rPr>
          <w:rFonts w:ascii="Montserrat Light" w:eastAsia="Calibri" w:hAnsi="Montserrat Light" w:cs="Arial"/>
          <w:caps/>
          <w:color w:val="262626"/>
          <w:sz w:val="36"/>
          <w:szCs w:val="36"/>
        </w:rPr>
      </w:pPr>
    </w:p>
    <w:p w14:paraId="091F048E" w14:textId="77777777" w:rsidR="00BF0A3B" w:rsidRDefault="00BF0A3B">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pPr>
          <w:r>
            <w:rPr>
              <w:lang w:val="es-ES"/>
            </w:rPr>
            <w:t>Índice</w:t>
          </w:r>
        </w:p>
        <w:p w14:paraId="37BB0870" w14:textId="34DC3C9C" w:rsidR="00B5563E" w:rsidRDefault="006C11F6">
          <w:pPr>
            <w:pStyle w:val="TOC1"/>
            <w:tabs>
              <w:tab w:val="right" w:leader="dot" w:pos="9016"/>
            </w:tabs>
            <w:rPr>
              <w:rFonts w:eastAsiaTheme="minorEastAsia"/>
              <w:noProof/>
              <w:kern w:val="2"/>
              <w:sz w:val="24"/>
              <w:szCs w:val="24"/>
              <w:lang w:eastAsia="en-GB"/>
              <w14:ligatures w14:val="standardContextual"/>
            </w:rPr>
          </w:pPr>
          <w:r>
            <w:rPr>
              <w:lang w:val="es-ES"/>
            </w:rPr>
            <w:fldChar w:fldCharType="begin"/>
          </w:r>
          <w:r>
            <w:instrText xml:space="preserve"> TOC \o "1-3" \h \z \u </w:instrText>
          </w:r>
          <w:r>
            <w:fldChar w:fldCharType="separate"/>
          </w:r>
          <w:hyperlink w:anchor="_Toc158802553" w:history="1">
            <w:r w:rsidR="00B5563E" w:rsidRPr="000E5E92">
              <w:rPr>
                <w:rStyle w:val="Hyperlink"/>
                <w:rFonts w:ascii="Montserrat" w:hAnsi="Montserrat"/>
                <w:noProof/>
                <w:lang w:val="es-ES"/>
              </w:rPr>
              <w:t>INTRODUCCIÓN</w:t>
            </w:r>
            <w:r w:rsidR="00B5563E">
              <w:rPr>
                <w:noProof/>
                <w:webHidden/>
              </w:rPr>
              <w:tab/>
            </w:r>
            <w:r w:rsidR="00B5563E">
              <w:rPr>
                <w:noProof/>
                <w:webHidden/>
              </w:rPr>
              <w:fldChar w:fldCharType="begin"/>
            </w:r>
            <w:r w:rsidR="00B5563E">
              <w:rPr>
                <w:noProof/>
                <w:webHidden/>
              </w:rPr>
              <w:instrText xml:space="preserve"> PAGEREF _Toc158802553 \h </w:instrText>
            </w:r>
            <w:r w:rsidR="00B5563E">
              <w:rPr>
                <w:noProof/>
                <w:webHidden/>
              </w:rPr>
            </w:r>
            <w:r w:rsidR="00B5563E">
              <w:rPr>
                <w:noProof/>
                <w:webHidden/>
              </w:rPr>
              <w:fldChar w:fldCharType="separate"/>
            </w:r>
            <w:r w:rsidR="00B5563E">
              <w:rPr>
                <w:noProof/>
                <w:webHidden/>
              </w:rPr>
              <w:t>3</w:t>
            </w:r>
            <w:r w:rsidR="00B5563E">
              <w:rPr>
                <w:noProof/>
                <w:webHidden/>
              </w:rPr>
              <w:fldChar w:fldCharType="end"/>
            </w:r>
          </w:hyperlink>
        </w:p>
        <w:p w14:paraId="1D3F7D0B" w14:textId="5765039C" w:rsidR="00B5563E" w:rsidRDefault="00B5563E">
          <w:pPr>
            <w:pStyle w:val="TOC1"/>
            <w:tabs>
              <w:tab w:val="right" w:leader="dot" w:pos="9016"/>
            </w:tabs>
            <w:rPr>
              <w:rFonts w:eastAsiaTheme="minorEastAsia"/>
              <w:noProof/>
              <w:kern w:val="2"/>
              <w:sz w:val="24"/>
              <w:szCs w:val="24"/>
              <w:lang w:eastAsia="en-GB"/>
              <w14:ligatures w14:val="standardContextual"/>
            </w:rPr>
          </w:pPr>
          <w:hyperlink w:anchor="_Toc158802554" w:history="1">
            <w:r w:rsidRPr="000E5E92">
              <w:rPr>
                <w:rStyle w:val="Hyperlink"/>
                <w:rFonts w:ascii="Montserrat" w:hAnsi="Montserrat"/>
                <w:noProof/>
                <w:lang w:val="es-ES"/>
              </w:rPr>
              <w:t>CONSULTA</w:t>
            </w:r>
            <w:r>
              <w:rPr>
                <w:noProof/>
                <w:webHidden/>
              </w:rPr>
              <w:tab/>
            </w:r>
            <w:r>
              <w:rPr>
                <w:noProof/>
                <w:webHidden/>
              </w:rPr>
              <w:fldChar w:fldCharType="begin"/>
            </w:r>
            <w:r>
              <w:rPr>
                <w:noProof/>
                <w:webHidden/>
              </w:rPr>
              <w:instrText xml:space="preserve"> PAGEREF _Toc158802554 \h </w:instrText>
            </w:r>
            <w:r>
              <w:rPr>
                <w:noProof/>
                <w:webHidden/>
              </w:rPr>
            </w:r>
            <w:r>
              <w:rPr>
                <w:noProof/>
                <w:webHidden/>
              </w:rPr>
              <w:fldChar w:fldCharType="separate"/>
            </w:r>
            <w:r>
              <w:rPr>
                <w:noProof/>
                <w:webHidden/>
              </w:rPr>
              <w:t>3</w:t>
            </w:r>
            <w:r>
              <w:rPr>
                <w:noProof/>
                <w:webHidden/>
              </w:rPr>
              <w:fldChar w:fldCharType="end"/>
            </w:r>
          </w:hyperlink>
        </w:p>
        <w:p w14:paraId="27ACC5FF" w14:textId="3D28D528" w:rsidR="00B5563E" w:rsidRDefault="00B5563E">
          <w:pPr>
            <w:pStyle w:val="TOC1"/>
            <w:tabs>
              <w:tab w:val="right" w:leader="dot" w:pos="9016"/>
            </w:tabs>
            <w:rPr>
              <w:rFonts w:eastAsiaTheme="minorEastAsia"/>
              <w:noProof/>
              <w:kern w:val="2"/>
              <w:sz w:val="24"/>
              <w:szCs w:val="24"/>
              <w:lang w:eastAsia="en-GB"/>
              <w14:ligatures w14:val="standardContextual"/>
            </w:rPr>
          </w:pPr>
          <w:hyperlink w:anchor="_Toc158802555" w:history="1">
            <w:r w:rsidRPr="000E5E92">
              <w:rPr>
                <w:rStyle w:val="Hyperlink"/>
                <w:rFonts w:ascii="Montserrat" w:hAnsi="Montserrat"/>
                <w:noProof/>
                <w:lang w:val="es-ES"/>
              </w:rPr>
              <w:t>LO QUE USTED DIJO</w:t>
            </w:r>
            <w:r>
              <w:rPr>
                <w:noProof/>
                <w:webHidden/>
              </w:rPr>
              <w:tab/>
            </w:r>
            <w:r>
              <w:rPr>
                <w:noProof/>
                <w:webHidden/>
              </w:rPr>
              <w:fldChar w:fldCharType="begin"/>
            </w:r>
            <w:r>
              <w:rPr>
                <w:noProof/>
                <w:webHidden/>
              </w:rPr>
              <w:instrText xml:space="preserve"> PAGEREF _Toc158802555 \h </w:instrText>
            </w:r>
            <w:r>
              <w:rPr>
                <w:noProof/>
                <w:webHidden/>
              </w:rPr>
            </w:r>
            <w:r>
              <w:rPr>
                <w:noProof/>
                <w:webHidden/>
              </w:rPr>
              <w:fldChar w:fldCharType="separate"/>
            </w:r>
            <w:r>
              <w:rPr>
                <w:noProof/>
                <w:webHidden/>
              </w:rPr>
              <w:t>4</w:t>
            </w:r>
            <w:r>
              <w:rPr>
                <w:noProof/>
                <w:webHidden/>
              </w:rPr>
              <w:fldChar w:fldCharType="end"/>
            </w:r>
          </w:hyperlink>
        </w:p>
        <w:p w14:paraId="2A34878D" w14:textId="5125AD86" w:rsidR="00B5563E" w:rsidRDefault="00B5563E">
          <w:pPr>
            <w:pStyle w:val="TOC1"/>
            <w:tabs>
              <w:tab w:val="right" w:leader="dot" w:pos="9016"/>
            </w:tabs>
            <w:rPr>
              <w:rFonts w:eastAsiaTheme="minorEastAsia"/>
              <w:noProof/>
              <w:kern w:val="2"/>
              <w:sz w:val="24"/>
              <w:szCs w:val="24"/>
              <w:lang w:eastAsia="en-GB"/>
              <w14:ligatures w14:val="standardContextual"/>
            </w:rPr>
          </w:pPr>
          <w:hyperlink w:anchor="_Toc158802556" w:history="1">
            <w:r w:rsidRPr="000E5E92">
              <w:rPr>
                <w:rStyle w:val="Hyperlink"/>
                <w:rFonts w:ascii="Montserrat" w:hAnsi="Montserrat"/>
                <w:noProof/>
                <w:lang w:val="es-ES"/>
              </w:rPr>
              <w:t>LO QUE HICIMOS</w:t>
            </w:r>
            <w:r>
              <w:rPr>
                <w:noProof/>
                <w:webHidden/>
              </w:rPr>
              <w:tab/>
            </w:r>
            <w:r>
              <w:rPr>
                <w:noProof/>
                <w:webHidden/>
              </w:rPr>
              <w:fldChar w:fldCharType="begin"/>
            </w:r>
            <w:r>
              <w:rPr>
                <w:noProof/>
                <w:webHidden/>
              </w:rPr>
              <w:instrText xml:space="preserve"> PAGEREF _Toc158802556 \h </w:instrText>
            </w:r>
            <w:r>
              <w:rPr>
                <w:noProof/>
                <w:webHidden/>
              </w:rPr>
            </w:r>
            <w:r>
              <w:rPr>
                <w:noProof/>
                <w:webHidden/>
              </w:rPr>
              <w:fldChar w:fldCharType="separate"/>
            </w:r>
            <w:r>
              <w:rPr>
                <w:noProof/>
                <w:webHidden/>
              </w:rPr>
              <w:t>5</w:t>
            </w:r>
            <w:r>
              <w:rPr>
                <w:noProof/>
                <w:webHidden/>
              </w:rPr>
              <w:fldChar w:fldCharType="end"/>
            </w:r>
          </w:hyperlink>
        </w:p>
        <w:p w14:paraId="3C4103BD" w14:textId="3E92CA90" w:rsidR="00B5563E" w:rsidRDefault="00B5563E">
          <w:pPr>
            <w:pStyle w:val="TOC1"/>
            <w:tabs>
              <w:tab w:val="right" w:leader="dot" w:pos="9016"/>
            </w:tabs>
            <w:rPr>
              <w:rFonts w:eastAsiaTheme="minorEastAsia"/>
              <w:noProof/>
              <w:kern w:val="2"/>
              <w:sz w:val="24"/>
              <w:szCs w:val="24"/>
              <w:lang w:eastAsia="en-GB"/>
              <w14:ligatures w14:val="standardContextual"/>
            </w:rPr>
          </w:pPr>
          <w:hyperlink w:anchor="_Toc158802557" w:history="1">
            <w:r w:rsidRPr="000E5E92">
              <w:rPr>
                <w:rStyle w:val="Hyperlink"/>
                <w:rFonts w:ascii="Montserrat" w:hAnsi="Montserrat"/>
                <w:noProof/>
                <w:lang w:val="es-ES"/>
              </w:rPr>
              <w:t>CONSECUCIÓN DE LOS RESULTADOS</w:t>
            </w:r>
            <w:r>
              <w:rPr>
                <w:noProof/>
                <w:webHidden/>
              </w:rPr>
              <w:tab/>
            </w:r>
            <w:r>
              <w:rPr>
                <w:noProof/>
                <w:webHidden/>
              </w:rPr>
              <w:fldChar w:fldCharType="begin"/>
            </w:r>
            <w:r>
              <w:rPr>
                <w:noProof/>
                <w:webHidden/>
              </w:rPr>
              <w:instrText xml:space="preserve"> PAGEREF _Toc158802557 \h </w:instrText>
            </w:r>
            <w:r>
              <w:rPr>
                <w:noProof/>
                <w:webHidden/>
              </w:rPr>
            </w:r>
            <w:r>
              <w:rPr>
                <w:noProof/>
                <w:webHidden/>
              </w:rPr>
              <w:fldChar w:fldCharType="separate"/>
            </w:r>
            <w:r>
              <w:rPr>
                <w:noProof/>
                <w:webHidden/>
              </w:rPr>
              <w:t>6</w:t>
            </w:r>
            <w:r>
              <w:rPr>
                <w:noProof/>
                <w:webHidden/>
              </w:rPr>
              <w:fldChar w:fldCharType="end"/>
            </w:r>
          </w:hyperlink>
        </w:p>
        <w:p w14:paraId="2539497F" w14:textId="330E3F8D" w:rsidR="00B5563E" w:rsidRDefault="00B5563E">
          <w:pPr>
            <w:pStyle w:val="TOC1"/>
            <w:tabs>
              <w:tab w:val="right" w:leader="dot" w:pos="9016"/>
            </w:tabs>
            <w:rPr>
              <w:rFonts w:eastAsiaTheme="minorEastAsia"/>
              <w:noProof/>
              <w:kern w:val="2"/>
              <w:sz w:val="24"/>
              <w:szCs w:val="24"/>
              <w:lang w:eastAsia="en-GB"/>
              <w14:ligatures w14:val="standardContextual"/>
            </w:rPr>
          </w:pPr>
          <w:hyperlink w:anchor="_Toc158802558" w:history="1">
            <w:r w:rsidRPr="000E5E92">
              <w:rPr>
                <w:rStyle w:val="Hyperlink"/>
                <w:rFonts w:ascii="Montserrat" w:hAnsi="Montserrat"/>
                <w:noProof/>
                <w:lang w:val="es-ES"/>
              </w:rPr>
              <w:t>PASOS SIGUIENTES</w:t>
            </w:r>
            <w:r>
              <w:rPr>
                <w:noProof/>
                <w:webHidden/>
              </w:rPr>
              <w:tab/>
            </w:r>
            <w:r>
              <w:rPr>
                <w:noProof/>
                <w:webHidden/>
              </w:rPr>
              <w:fldChar w:fldCharType="begin"/>
            </w:r>
            <w:r>
              <w:rPr>
                <w:noProof/>
                <w:webHidden/>
              </w:rPr>
              <w:instrText xml:space="preserve"> PAGEREF _Toc158802558 \h </w:instrText>
            </w:r>
            <w:r>
              <w:rPr>
                <w:noProof/>
                <w:webHidden/>
              </w:rPr>
            </w:r>
            <w:r>
              <w:rPr>
                <w:noProof/>
                <w:webHidden/>
              </w:rPr>
              <w:fldChar w:fldCharType="separate"/>
            </w:r>
            <w:r>
              <w:rPr>
                <w:noProof/>
                <w:webHidden/>
              </w:rPr>
              <w:t>6</w:t>
            </w:r>
            <w:r>
              <w:rPr>
                <w:noProof/>
                <w:webHidden/>
              </w:rPr>
              <w:fldChar w:fldCharType="end"/>
            </w:r>
          </w:hyperlink>
        </w:p>
        <w:p w14:paraId="26A2F26B" w14:textId="21C54CD4" w:rsidR="006C11F6" w:rsidRDefault="006C11F6">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rPr>
          <w:rFonts w:ascii="Montserrat" w:eastAsiaTheme="majorEastAsia" w:hAnsi="Montserrat" w:cstheme="majorBidi"/>
          <w:sz w:val="36"/>
          <w:szCs w:val="36"/>
        </w:rPr>
      </w:pPr>
      <w:r>
        <w:rPr>
          <w:rFonts w:ascii="Montserrat" w:hAnsi="Montserrat"/>
          <w:sz w:val="36"/>
          <w:szCs w:val="36"/>
          <w:lang w:val="es-ES"/>
        </w:rPr>
        <w:br w:type="page"/>
      </w:r>
    </w:p>
    <w:p w14:paraId="122E2ADD" w14:textId="5F49BA6D" w:rsidR="003204CE" w:rsidRPr="002C4A17" w:rsidRDefault="00FC4BEC" w:rsidP="002C4A17">
      <w:pPr>
        <w:pStyle w:val="Heading1"/>
        <w:rPr>
          <w:rFonts w:ascii="Montserrat" w:hAnsi="Montserrat"/>
          <w:color w:val="auto"/>
          <w:sz w:val="36"/>
          <w:szCs w:val="36"/>
        </w:rPr>
      </w:pPr>
      <w:bookmarkStart w:id="0" w:name="_Toc158802553"/>
      <w:r>
        <w:rPr>
          <w:rFonts w:ascii="Montserrat Light" w:hAnsi="Montserrat Light"/>
          <w:caps/>
          <w:noProof/>
          <w:color w:val="262626"/>
          <w:sz w:val="36"/>
          <w:szCs w:val="36"/>
          <w:lang w:val="es-ES"/>
        </w:rPr>
        <w:lastRenderedPageBreak/>
        <w:drawing>
          <wp:anchor distT="0" distB="0" distL="114300" distR="114300" simplePos="0" relativeHeight="251661312"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Pr>
          <w:noProof/>
          <w:lang w:val="es-ES"/>
        </w:rPr>
        <w:drawing>
          <wp:anchor distT="0" distB="0" distL="114300" distR="114300" simplePos="0" relativeHeight="251659264"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Pr>
          <w:rFonts w:ascii="Montserrat" w:hAnsi="Montserrat"/>
          <w:color w:val="auto"/>
          <w:sz w:val="36"/>
          <w:szCs w:val="36"/>
          <w:lang w:val="es-ES"/>
        </w:rPr>
        <w:t>INTRODUCCIÓN</w:t>
      </w:r>
      <w:bookmarkEnd w:id="0"/>
      <w:bookmarkEnd w:id="2"/>
    </w:p>
    <w:p w14:paraId="70EFA3AA" w14:textId="77777777" w:rsidR="00F96F54" w:rsidRDefault="00F96F54" w:rsidP="003204CE">
      <w:pPr>
        <w:spacing w:after="0" w:line="240" w:lineRule="auto"/>
        <w:rPr>
          <w:rFonts w:ascii="Montserrat Light" w:eastAsia="Calibri" w:hAnsi="Montserrat Light" w:cs="Arial"/>
          <w:color w:val="262626"/>
          <w:sz w:val="24"/>
          <w:szCs w:val="20"/>
        </w:rPr>
      </w:pPr>
    </w:p>
    <w:p w14:paraId="7E77CE6B" w14:textId="3AFF1FB6" w:rsidR="003204CE" w:rsidRPr="003204CE" w:rsidRDefault="003204CE"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 xml:space="preserve">Falkirk </w:t>
      </w:r>
      <w:proofErr w:type="spellStart"/>
      <w:r>
        <w:rPr>
          <w:rFonts w:ascii="Montserrat Light" w:eastAsia="Calibri" w:hAnsi="Montserrat Light" w:cs="Arial"/>
          <w:color w:val="262626"/>
          <w:sz w:val="24"/>
          <w:szCs w:val="20"/>
          <w:lang w:val="es-ES"/>
        </w:rPr>
        <w:t>Health</w:t>
      </w:r>
      <w:proofErr w:type="spellEnd"/>
      <w:r>
        <w:rPr>
          <w:rFonts w:ascii="Montserrat Light" w:eastAsia="Calibri" w:hAnsi="Montserrat Light" w:cs="Arial"/>
          <w:color w:val="262626"/>
          <w:sz w:val="24"/>
          <w:szCs w:val="20"/>
          <w:lang w:val="es-ES"/>
        </w:rPr>
        <w:t xml:space="preserve"> and Social Care </w:t>
      </w:r>
      <w:proofErr w:type="spellStart"/>
      <w:r>
        <w:rPr>
          <w:rFonts w:ascii="Montserrat Light" w:eastAsia="Calibri" w:hAnsi="Montserrat Light" w:cs="Arial"/>
          <w:color w:val="262626"/>
          <w:sz w:val="24"/>
          <w:szCs w:val="20"/>
          <w:lang w:val="es-ES"/>
        </w:rPr>
        <w:t>Partnership</w:t>
      </w:r>
      <w:proofErr w:type="spellEnd"/>
      <w:r>
        <w:rPr>
          <w:rFonts w:ascii="Montserrat Light" w:eastAsia="Calibri" w:hAnsi="Montserrat Light" w:cs="Arial"/>
          <w:color w:val="262626"/>
          <w:sz w:val="24"/>
          <w:szCs w:val="20"/>
          <w:lang w:val="es-ES"/>
        </w:rPr>
        <w:t xml:space="preserve"> (HSCP) se compromete plenamente a promover la equidad, la dignidad y el respeto a la vez que presta servicios que proporcionan igualdad de oportunidades para todos en el área de Falkirk. Queremos trabajar con los usuarios de nuestros servicios y los grupos de la comunidad para que nos ayuden a alcanzar esta visión.</w:t>
      </w:r>
    </w:p>
    <w:p w14:paraId="5536E285" w14:textId="77777777" w:rsidR="003204CE" w:rsidRDefault="003204CE" w:rsidP="003204CE">
      <w:pPr>
        <w:spacing w:after="0" w:line="240" w:lineRule="auto"/>
        <w:rPr>
          <w:rFonts w:ascii="Montserrat Light" w:eastAsia="Calibri" w:hAnsi="Montserrat Light" w:cs="Arial"/>
          <w:color w:val="262626"/>
          <w:sz w:val="24"/>
          <w:szCs w:val="20"/>
        </w:rPr>
      </w:pPr>
    </w:p>
    <w:p w14:paraId="3B9F5685" w14:textId="47B8D16C" w:rsidR="00F96F54"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Entre septiembre y noviembre de 2023 llevamos a cabo una consulta pública sobre cuáles deberían ser nuestros resultados en materia de igualdad para el periodo 2024-2028. Ahora le invitamos a considerar qué acciones podemos emprender juntos para alcanzar nuestros resultados.</w:t>
      </w:r>
    </w:p>
    <w:p w14:paraId="7782EFBE" w14:textId="77777777" w:rsidR="00F96F54" w:rsidRDefault="00F96F54" w:rsidP="003204CE">
      <w:pPr>
        <w:spacing w:after="0" w:line="240" w:lineRule="auto"/>
        <w:rPr>
          <w:rFonts w:ascii="Montserrat Light" w:eastAsia="Calibri" w:hAnsi="Montserrat Light" w:cs="Arial"/>
          <w:color w:val="262626"/>
          <w:sz w:val="24"/>
          <w:szCs w:val="20"/>
        </w:rPr>
      </w:pPr>
    </w:p>
    <w:p w14:paraId="7530D91D" w14:textId="21F1ADC0" w:rsidR="00743C67"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Este informe de lectura fácil presenta un breve resumen de los comentarios que recibimos durante la primera ronda de consulta pública, lo que hemos hecho en respuesta a esos comentarios y las acciones sugeridas que podemos emprender para alcanzar los resultados en materia de igualdad.</w:t>
      </w:r>
    </w:p>
    <w:p w14:paraId="36CFAEFA" w14:textId="77777777" w:rsidR="00F96F54" w:rsidRDefault="00F96F54" w:rsidP="003204CE">
      <w:pPr>
        <w:spacing w:after="0" w:line="240" w:lineRule="auto"/>
        <w:rPr>
          <w:rFonts w:ascii="Montserrat Light" w:eastAsia="Calibri" w:hAnsi="Montserrat Light" w:cs="Arial"/>
          <w:color w:val="262626"/>
          <w:sz w:val="24"/>
          <w:szCs w:val="20"/>
        </w:rPr>
      </w:pPr>
    </w:p>
    <w:p w14:paraId="23B9BF18" w14:textId="5F030A1B" w:rsidR="003204CE" w:rsidRPr="002C4A17" w:rsidRDefault="00743C67" w:rsidP="002C4A17">
      <w:pPr>
        <w:pStyle w:val="Heading1"/>
        <w:rPr>
          <w:rFonts w:ascii="Montserrat" w:hAnsi="Montserrat"/>
          <w:color w:val="auto"/>
          <w:sz w:val="36"/>
          <w:szCs w:val="36"/>
        </w:rPr>
      </w:pPr>
      <w:bookmarkStart w:id="3" w:name="_Toc152748271"/>
      <w:bookmarkStart w:id="4" w:name="_Toc158802554"/>
      <w:r>
        <w:rPr>
          <w:rFonts w:ascii="Montserrat" w:hAnsi="Montserrat"/>
          <w:color w:val="auto"/>
          <w:sz w:val="36"/>
          <w:szCs w:val="36"/>
          <w:lang w:val="es-ES"/>
        </w:rPr>
        <w:t>CONSULTA</w:t>
      </w:r>
      <w:bookmarkEnd w:id="3"/>
      <w:bookmarkEnd w:id="4"/>
    </w:p>
    <w:p w14:paraId="1DE8AECC" w14:textId="77777777" w:rsidR="00743C67" w:rsidRDefault="00743C67" w:rsidP="00743C67"/>
    <w:p w14:paraId="09F6CCA3" w14:textId="0A2FE484" w:rsidR="00743C67" w:rsidRDefault="00792658" w:rsidP="00743C67">
      <w:pPr>
        <w:rPr>
          <w:rFonts w:ascii="Montserrat Light" w:hAnsi="Montserrat Light"/>
          <w:sz w:val="24"/>
          <w:szCs w:val="24"/>
        </w:rPr>
      </w:pPr>
      <w:r>
        <w:rPr>
          <w:rFonts w:ascii="Montserrat Light" w:hAnsi="Montserrat Light"/>
          <w:sz w:val="24"/>
          <w:szCs w:val="24"/>
          <w:lang w:val="es-ES"/>
        </w:rPr>
        <w:t xml:space="preserve">La consulta sobre los resultados en materia de igualdad se llevó a cabo en dos fases: una fase inicial entre junio y agosto de 2023 y una consulta pública a mayor escala entre septiembre y noviembre de 2023.  Esto incluyó una encuesta en línea y 30 horas de contacto presencial con 24 grupos comunitarios. </w:t>
      </w:r>
    </w:p>
    <w:p w14:paraId="6D8A61CB" w14:textId="1DD186CA" w:rsidR="00B20450" w:rsidRDefault="006F4220" w:rsidP="00743C67">
      <w:pPr>
        <w:rPr>
          <w:rFonts w:ascii="Montserrat Light" w:hAnsi="Montserrat Light"/>
          <w:sz w:val="24"/>
          <w:szCs w:val="24"/>
        </w:rPr>
      </w:pPr>
      <w:r>
        <w:rPr>
          <w:rFonts w:ascii="Montserrat Light" w:hAnsi="Montserrat Light"/>
          <w:sz w:val="24"/>
          <w:szCs w:val="24"/>
          <w:lang w:val="es-ES"/>
        </w:rPr>
        <w:t>Como parte de la consulta, compartimos nuestro borrador de resultados y le invitamos a que nos diera su opinión. El borrador de resultados en materia de igualdad era el siguiente</w:t>
      </w:r>
    </w:p>
    <w:p w14:paraId="66E6E5D9"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es-ES"/>
        </w:rPr>
        <w:t>Resultado de igualdad 1</w:t>
      </w:r>
    </w:p>
    <w:p w14:paraId="5B2DC3A7" w14:textId="2786513A" w:rsidR="00B20450" w:rsidRPr="00E21394" w:rsidRDefault="00B20450" w:rsidP="00F44374">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Las personas mayores que sufren exclusión digital disponen de vías alternativas para acceder a los servicios.</w:t>
      </w:r>
    </w:p>
    <w:p w14:paraId="59C1882A" w14:textId="77777777" w:rsidR="00F44374" w:rsidRPr="00E21394" w:rsidRDefault="00F44374" w:rsidP="00F44374">
      <w:pPr>
        <w:spacing w:after="0" w:line="240" w:lineRule="auto"/>
        <w:contextualSpacing/>
        <w:rPr>
          <w:rFonts w:ascii="Montserrat Light" w:eastAsia="Calibri" w:hAnsi="Montserrat Light" w:cs="Arial"/>
          <w:b/>
          <w:bCs/>
          <w:color w:val="262626"/>
          <w:sz w:val="24"/>
          <w:szCs w:val="20"/>
        </w:rPr>
      </w:pPr>
    </w:p>
    <w:p w14:paraId="7B586883"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Pr>
          <w:rFonts w:ascii="Montserrat Light" w:eastAsia="Calibri" w:hAnsi="Montserrat Light" w:cs="Arial"/>
          <w:b/>
          <w:bCs/>
          <w:i/>
          <w:iCs/>
          <w:color w:val="262626"/>
          <w:sz w:val="24"/>
          <w:szCs w:val="20"/>
          <w:lang w:val="es-ES"/>
        </w:rPr>
        <w:t>Resultado</w:t>
      </w:r>
      <w:r>
        <w:rPr>
          <w:rFonts w:ascii="Montserrat Light" w:eastAsia="Calibri" w:hAnsi="Montserrat Light" w:cs="Arial"/>
          <w:b/>
          <w:bCs/>
          <w:color w:val="262626"/>
          <w:sz w:val="24"/>
          <w:szCs w:val="20"/>
          <w:lang w:val="es-ES"/>
        </w:rPr>
        <w:t xml:space="preserve"> </w:t>
      </w:r>
      <w:r>
        <w:rPr>
          <w:rFonts w:ascii="Montserrat Light" w:eastAsia="Calibri" w:hAnsi="Montserrat Light" w:cs="Arial"/>
          <w:b/>
          <w:bCs/>
          <w:i/>
          <w:iCs/>
          <w:color w:val="262626"/>
          <w:sz w:val="24"/>
          <w:szCs w:val="20"/>
          <w:lang w:val="es-ES"/>
        </w:rPr>
        <w:t xml:space="preserve">de igualdad </w:t>
      </w:r>
      <w:r>
        <w:rPr>
          <w:rFonts w:ascii="Montserrat Light" w:eastAsia="Calibri" w:hAnsi="Montserrat Light" w:cs="Arial"/>
          <w:b/>
          <w:bCs/>
          <w:color w:val="262626"/>
          <w:sz w:val="24"/>
          <w:szCs w:val="20"/>
          <w:lang w:val="es-ES"/>
        </w:rPr>
        <w:t>2</w:t>
      </w:r>
    </w:p>
    <w:p w14:paraId="32B6E6C4" w14:textId="77777777" w:rsidR="00FC4BEC" w:rsidRDefault="00B20450" w:rsidP="00FC4BEC">
      <w:pPr>
        <w:spacing w:after="0" w:line="240" w:lineRule="auto"/>
        <w:contextualSpacing/>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Las personas de etnia negra y minorías étnicas, con diferencias culturales y lingüísticas, han mejorado su experiencia en el acceso a los servicios sanitarios y sociales.</w:t>
      </w:r>
      <w:bookmarkStart w:id="5" w:name="_Toc152748272"/>
    </w:p>
    <w:p w14:paraId="2D33317C" w14:textId="77777777" w:rsidR="00FC4BEC" w:rsidRDefault="00FC4BEC" w:rsidP="00FC4BEC">
      <w:pPr>
        <w:spacing w:after="0" w:line="240" w:lineRule="auto"/>
        <w:contextualSpacing/>
        <w:rPr>
          <w:rFonts w:ascii="Montserrat Light" w:eastAsia="Calibri" w:hAnsi="Montserrat Light" w:cs="Arial"/>
          <w:b/>
          <w:bCs/>
          <w:color w:val="262626"/>
          <w:sz w:val="24"/>
          <w:szCs w:val="20"/>
        </w:rPr>
      </w:pPr>
    </w:p>
    <w:p w14:paraId="110A671B" w14:textId="2DBFABEB" w:rsidR="00B20450" w:rsidRPr="00FC4BEC" w:rsidRDefault="00713DA0" w:rsidP="00FC4BEC">
      <w:pPr>
        <w:spacing w:after="0" w:line="240" w:lineRule="auto"/>
        <w:contextualSpacing/>
        <w:rPr>
          <w:rFonts w:ascii="Montserrat Light" w:eastAsia="Calibri" w:hAnsi="Montserrat Light" w:cs="Arial"/>
          <w:b/>
          <w:bCs/>
          <w:color w:val="262626"/>
          <w:sz w:val="24"/>
          <w:szCs w:val="20"/>
        </w:rPr>
      </w:pPr>
      <w:r>
        <w:rPr>
          <w:rFonts w:ascii="Montserrat" w:hAnsi="Montserrat"/>
          <w:sz w:val="36"/>
          <w:szCs w:val="36"/>
          <w:lang w:val="es-ES"/>
        </w:rPr>
        <w:t>LO QUE PREGUNTAMOS</w:t>
      </w:r>
      <w:bookmarkEnd w:id="5"/>
    </w:p>
    <w:p w14:paraId="42C29272" w14:textId="77777777" w:rsidR="00B20450" w:rsidRDefault="00B20450" w:rsidP="00B20450"/>
    <w:p w14:paraId="4C110829" w14:textId="606DFC96" w:rsidR="00B20450" w:rsidRPr="00B20450" w:rsidRDefault="00B20450" w:rsidP="00B20450">
      <w:pPr>
        <w:pStyle w:val="ListParagraph"/>
        <w:numPr>
          <w:ilvl w:val="0"/>
          <w:numId w:val="4"/>
        </w:numPr>
        <w:rPr>
          <w:rFonts w:ascii="Montserrat Light" w:hAnsi="Montserrat Light"/>
          <w:sz w:val="24"/>
          <w:szCs w:val="24"/>
        </w:rPr>
      </w:pPr>
      <w:r>
        <w:rPr>
          <w:rFonts w:ascii="Montserrat Light" w:hAnsi="Montserrat Light"/>
          <w:sz w:val="24"/>
          <w:szCs w:val="24"/>
          <w:lang w:val="es-ES"/>
        </w:rPr>
        <w:t>¿Le afectan negativamente la exclusión digital y las barreras lingüísticas y culturales?</w:t>
      </w:r>
    </w:p>
    <w:p w14:paraId="2A35507F" w14:textId="52C0C4CA"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es-ES"/>
        </w:rPr>
        <w:t>¿Es este un resultado importante para la igualdad?</w:t>
      </w:r>
    </w:p>
    <w:p w14:paraId="5A5DF186" w14:textId="0958CD12"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es-ES"/>
        </w:rPr>
        <w:lastRenderedPageBreak/>
        <w:t>¿Responde este resultado a las necesidades de las personas mayores y las personas de minorías de etnias negras y minoritarias?</w:t>
      </w:r>
    </w:p>
    <w:p w14:paraId="61079644" w14:textId="2E26EDDF"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es-ES"/>
        </w:rPr>
        <w:t>¿Es este resultado fácil de entender?</w:t>
      </w:r>
    </w:p>
    <w:p w14:paraId="345EFD07"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es-ES"/>
        </w:rPr>
        <w:t xml:space="preserve">¿Los resultados se centran en las áreas de mayor relevancia para la Falkirk </w:t>
      </w:r>
      <w:proofErr w:type="spellStart"/>
      <w:r>
        <w:rPr>
          <w:rFonts w:ascii="Montserrat Light" w:hAnsi="Montserrat Light"/>
          <w:sz w:val="24"/>
          <w:szCs w:val="24"/>
          <w:lang w:val="es-ES"/>
        </w:rPr>
        <w:t>Health</w:t>
      </w:r>
      <w:proofErr w:type="spellEnd"/>
      <w:r>
        <w:rPr>
          <w:rFonts w:ascii="Montserrat Light" w:hAnsi="Montserrat Light"/>
          <w:sz w:val="24"/>
          <w:szCs w:val="24"/>
          <w:lang w:val="es-ES"/>
        </w:rPr>
        <w:t xml:space="preserve"> &amp; Social Care </w:t>
      </w:r>
      <w:proofErr w:type="spellStart"/>
      <w:r>
        <w:rPr>
          <w:rFonts w:ascii="Montserrat Light" w:hAnsi="Montserrat Light"/>
          <w:sz w:val="24"/>
          <w:szCs w:val="24"/>
          <w:lang w:val="es-ES"/>
        </w:rPr>
        <w:t>Partnership</w:t>
      </w:r>
      <w:proofErr w:type="spellEnd"/>
      <w:r>
        <w:rPr>
          <w:rFonts w:ascii="Montserrat Light" w:hAnsi="Montserrat Light"/>
          <w:sz w:val="24"/>
          <w:szCs w:val="24"/>
          <w:lang w:val="es-ES"/>
        </w:rPr>
        <w:t xml:space="preserve">? Si su respuesta es “No”, ¿qué </w:t>
      </w:r>
      <w:proofErr w:type="gramStart"/>
      <w:r>
        <w:rPr>
          <w:rFonts w:ascii="Montserrat Light" w:hAnsi="Montserrat Light"/>
          <w:sz w:val="24"/>
          <w:szCs w:val="24"/>
          <w:lang w:val="es-ES"/>
        </w:rPr>
        <w:t>otros resultados sugeriría</w:t>
      </w:r>
      <w:proofErr w:type="gramEnd"/>
      <w:r>
        <w:rPr>
          <w:rFonts w:ascii="Montserrat Light" w:hAnsi="Montserrat Light"/>
          <w:sz w:val="24"/>
          <w:szCs w:val="24"/>
          <w:lang w:val="es-ES"/>
        </w:rPr>
        <w:t xml:space="preserve"> y por qué?</w:t>
      </w:r>
    </w:p>
    <w:p w14:paraId="3B1DC26C"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lang w:val="es-ES"/>
        </w:rPr>
        <w:t>¿Considera que hay algo que no ha sido cubierto por los resultados y que debería ser incluido?</w:t>
      </w:r>
    </w:p>
    <w:p w14:paraId="271ADD05" w14:textId="77777777" w:rsidR="00B20450" w:rsidRPr="00B20450" w:rsidRDefault="00B20450" w:rsidP="00713DA0">
      <w:pPr>
        <w:pStyle w:val="ListParagraph"/>
        <w:rPr>
          <w:rFonts w:ascii="Montserrat Light" w:hAnsi="Montserrat Light"/>
          <w:sz w:val="24"/>
          <w:szCs w:val="24"/>
        </w:rPr>
      </w:pPr>
    </w:p>
    <w:p w14:paraId="03BD6578" w14:textId="0F4E55C0" w:rsidR="00B20450" w:rsidRPr="002C4A17" w:rsidRDefault="00713DA0" w:rsidP="002C4A17">
      <w:pPr>
        <w:pStyle w:val="Heading1"/>
        <w:rPr>
          <w:rFonts w:ascii="Montserrat" w:hAnsi="Montserrat"/>
          <w:color w:val="auto"/>
          <w:sz w:val="36"/>
          <w:szCs w:val="36"/>
        </w:rPr>
      </w:pPr>
      <w:bookmarkStart w:id="6" w:name="_Toc152748273"/>
      <w:bookmarkStart w:id="7" w:name="_Toc158802555"/>
      <w:r>
        <w:rPr>
          <w:rFonts w:ascii="Montserrat" w:hAnsi="Montserrat"/>
          <w:color w:val="auto"/>
          <w:sz w:val="36"/>
          <w:szCs w:val="36"/>
          <w:lang w:val="es-ES"/>
        </w:rPr>
        <w:t>LO QUE USTED DIJO</w:t>
      </w:r>
      <w:bookmarkEnd w:id="6"/>
      <w:bookmarkEnd w:id="7"/>
    </w:p>
    <w:p w14:paraId="1CD876C9" w14:textId="77777777" w:rsidR="00713DA0" w:rsidRDefault="00713DA0" w:rsidP="00713DA0"/>
    <w:p w14:paraId="1D73584B" w14:textId="13680039" w:rsidR="00713DA0" w:rsidRDefault="00713DA0" w:rsidP="00713DA0">
      <w:pPr>
        <w:spacing w:after="0" w:line="240" w:lineRule="auto"/>
        <w:rPr>
          <w:rFonts w:ascii="Montserrat" w:eastAsia="Calibri" w:hAnsi="Montserrat" w:cs="Arial"/>
          <w:b/>
          <w:bCs/>
          <w:color w:val="262626"/>
          <w:sz w:val="24"/>
          <w:szCs w:val="20"/>
        </w:rPr>
      </w:pPr>
      <w:r>
        <w:rPr>
          <w:rFonts w:ascii="Montserrat SemiBold" w:eastAsia="Calibri" w:hAnsi="Montserrat SemiBold" w:cs="Arial"/>
          <w:b/>
          <w:bCs/>
          <w:color w:val="262626"/>
          <w:sz w:val="24"/>
          <w:szCs w:val="20"/>
          <w:lang w:val="es-ES"/>
        </w:rPr>
        <w:t>4.1</w:t>
      </w:r>
      <w:r>
        <w:rPr>
          <w:rFonts w:ascii="Montserrat" w:eastAsia="Calibri" w:hAnsi="Montserrat" w:cs="Arial"/>
          <w:b/>
          <w:bCs/>
          <w:color w:val="262626"/>
          <w:sz w:val="24"/>
          <w:szCs w:val="20"/>
          <w:lang w:val="es-ES"/>
        </w:rPr>
        <w:t xml:space="preserve"> </w:t>
      </w:r>
      <w:r>
        <w:rPr>
          <w:rFonts w:ascii="Montserrat SemiBold" w:eastAsia="Calibri" w:hAnsi="Montserrat SemiBold" w:cs="Arial"/>
          <w:b/>
          <w:bCs/>
          <w:color w:val="262626"/>
          <w:sz w:val="24"/>
          <w:szCs w:val="20"/>
          <w:lang w:val="es-ES"/>
        </w:rPr>
        <w:t>Las personas mayores que sufren exclusión digital tienen formas alternativas de acceder a los servicios.</w:t>
      </w:r>
    </w:p>
    <w:p w14:paraId="3A3F4E95" w14:textId="77777777" w:rsidR="00713DA0" w:rsidRPr="00713DA0" w:rsidRDefault="00713DA0" w:rsidP="00713DA0">
      <w:pPr>
        <w:spacing w:after="0" w:line="240" w:lineRule="auto"/>
        <w:rPr>
          <w:rFonts w:ascii="Montserrat" w:eastAsia="Calibri" w:hAnsi="Montserrat" w:cs="Arial"/>
          <w:b/>
          <w:bCs/>
          <w:color w:val="262626"/>
          <w:sz w:val="24"/>
          <w:szCs w:val="20"/>
        </w:rPr>
      </w:pPr>
    </w:p>
    <w:p w14:paraId="202E4131" w14:textId="3D5E07EC" w:rsidR="00713DA0" w:rsidRPr="00713DA0" w:rsidRDefault="00060018"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Surgieron nueve temas:</w:t>
      </w:r>
    </w:p>
    <w:p w14:paraId="2987AC8D"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Acceso a los servicios</w:t>
      </w:r>
    </w:p>
    <w:p w14:paraId="54F35618"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Acceso a la información</w:t>
      </w:r>
    </w:p>
    <w:p w14:paraId="163AAB64"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Apoyo</w:t>
      </w:r>
    </w:p>
    <w:p w14:paraId="63CDD88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Apoyo alternativo</w:t>
      </w:r>
    </w:p>
    <w:p w14:paraId="6AF935B1"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Acceso a la tecnología</w:t>
      </w:r>
    </w:p>
    <w:p w14:paraId="758DC866"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Supuestos</w:t>
      </w:r>
    </w:p>
    <w:p w14:paraId="5B4DF00F"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Preocupación por el uso de la tecnología</w:t>
      </w:r>
    </w:p>
    <w:p w14:paraId="57FF44C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Conocimientos</w:t>
      </w:r>
    </w:p>
    <w:p w14:paraId="76FEF550"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Redacción del resultado en materia de igualdad</w:t>
      </w:r>
    </w:p>
    <w:p w14:paraId="2E15E889"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1986ADF5" w14:textId="77777777" w:rsidR="00713DA0" w:rsidRPr="00713DA0" w:rsidRDefault="00713DA0" w:rsidP="00713DA0">
      <w:pPr>
        <w:spacing w:after="0" w:line="257" w:lineRule="auto"/>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es-ES"/>
          <w14:ligatures w14:val="standardContextual"/>
        </w:rPr>
        <w:t>Comentarios:</w:t>
      </w:r>
    </w:p>
    <w:p w14:paraId="5ECC4FD7" w14:textId="77777777" w:rsidR="00713DA0" w:rsidRPr="00713DA0" w:rsidRDefault="00713DA0" w:rsidP="00713DA0">
      <w:pPr>
        <w:numPr>
          <w:ilvl w:val="0"/>
          <w:numId w:val="9"/>
        </w:numPr>
        <w:spacing w:after="0" w:line="257" w:lineRule="auto"/>
        <w:contextualSpacing/>
        <w:rPr>
          <w:rFonts w:ascii="Montserrat Light" w:eastAsia="Arial" w:hAnsi="Montserrat Light" w:cstheme="minorHAnsi"/>
          <w:iCs/>
          <w:color w:val="262626"/>
          <w:kern w:val="2"/>
          <w:sz w:val="24"/>
          <w:szCs w:val="24"/>
          <w14:ligatures w14:val="standardContextual"/>
        </w:rPr>
      </w:pPr>
      <w:r>
        <w:rPr>
          <w:rFonts w:ascii="Montserrat Light" w:eastAsia="Arial" w:hAnsi="Montserrat Light" w:cstheme="minorHAnsi"/>
          <w:color w:val="262626"/>
          <w:kern w:val="2"/>
          <w:sz w:val="24"/>
          <w:szCs w:val="24"/>
          <w:lang w:val="es-ES"/>
          <w14:ligatures w14:val="standardContextual"/>
        </w:rPr>
        <w:t>“No saben dónde encontrar información por Internet o por dónde empezar a buscarla”.</w:t>
      </w:r>
    </w:p>
    <w:p w14:paraId="5F1FE204"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es-ES"/>
        </w:rPr>
        <w:t>“El resultado debería establecer una definición de lo que significa exclusión digital y proporcionar ejemplos como no tener acceso a</w:t>
      </w:r>
      <w:r>
        <w:rPr>
          <w:rFonts w:ascii="Montserrat SemiBold" w:eastAsiaTheme="majorEastAsia" w:hAnsi="Montserrat SemiBold" w:cstheme="majorBidi"/>
          <w:color w:val="262626"/>
          <w:sz w:val="24"/>
          <w:szCs w:val="24"/>
          <w:lang w:val="es-ES"/>
        </w:rPr>
        <w:t xml:space="preserve"> </w:t>
      </w:r>
      <w:r>
        <w:rPr>
          <w:rFonts w:ascii="Montserrat Light" w:eastAsiaTheme="majorEastAsia" w:hAnsi="Montserrat Light" w:cstheme="majorBidi"/>
          <w:color w:val="262626"/>
          <w:sz w:val="24"/>
          <w:szCs w:val="24"/>
          <w:lang w:val="es-ES"/>
        </w:rPr>
        <w:t>ordenador, teléfono móvil, etc.”.</w:t>
      </w:r>
    </w:p>
    <w:p w14:paraId="652E9768"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es-ES"/>
          <w14:ligatures w14:val="standardContextual"/>
        </w:rPr>
        <w:t>“Las personas mayores temen al conectarse a Internet que cometerán un error o harán algo mal, y eso les repercutirá”.</w:t>
      </w:r>
    </w:p>
    <w:p w14:paraId="47735675"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Arial" w:hAnsi="Montserrat Light" w:cs="Arial"/>
          <w:color w:val="262626"/>
          <w:kern w:val="2"/>
          <w:sz w:val="24"/>
          <w:szCs w:val="24"/>
          <w:lang w:val="es-ES"/>
          <w14:ligatures w14:val="standardContextual"/>
        </w:rPr>
        <w:t>“Me resulta difícil acceder a los servicios a través de Internet, por ejemplo, la biblioteca, las recetas, las papeleras... Cada vez más el acceso a estos servicios se realiza a través de aplicaciones y webs que me resultan difíciles de utilizar”.</w:t>
      </w:r>
    </w:p>
    <w:p w14:paraId="2EC8B300"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Pr>
          <w:rFonts w:ascii="Montserrat Light" w:eastAsiaTheme="majorEastAsia" w:hAnsi="Montserrat Light" w:cstheme="majorBidi"/>
          <w:color w:val="262626"/>
          <w:sz w:val="24"/>
          <w:szCs w:val="24"/>
          <w:lang w:val="es-ES"/>
        </w:rPr>
        <w:t>“Muchas de las personas que utilizan nuestro servicio no tienen acceso a ordenadores portátiles ni a otras formas de tecnología y les costaría saber cómo utilizarlos”.</w:t>
      </w:r>
    </w:p>
    <w:p w14:paraId="6487E170"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Pr>
          <w:rFonts w:ascii="Montserrat Light" w:eastAsiaTheme="majorEastAsia" w:hAnsi="Montserrat Light" w:cstheme="majorBidi"/>
          <w:color w:val="262626"/>
          <w:sz w:val="24"/>
          <w:szCs w:val="24"/>
          <w:lang w:val="es-ES"/>
        </w:rPr>
        <w:t>“No sé qué alternativas hay. Vivo solo, sin familia que me enseñe qué hacer, sin nadie a quien pedir ayuda”.</w:t>
      </w:r>
    </w:p>
    <w:p w14:paraId="3C9AF824" w14:textId="77777777" w:rsidR="00713DA0" w:rsidRDefault="00713DA0" w:rsidP="00713DA0"/>
    <w:p w14:paraId="1B528C4D" w14:textId="77777777" w:rsidR="00945C7D" w:rsidRDefault="00713DA0" w:rsidP="00713DA0">
      <w:pPr>
        <w:spacing w:after="0" w:line="240" w:lineRule="auto"/>
        <w:contextualSpacing/>
        <w:rPr>
          <w:rFonts w:ascii="Montserrat SemiBold" w:eastAsia="Calibri" w:hAnsi="Montserrat SemiBold" w:cs="Arial"/>
          <w:b/>
          <w:bCs/>
          <w:color w:val="262626"/>
          <w:sz w:val="24"/>
          <w:szCs w:val="20"/>
        </w:rPr>
      </w:pPr>
      <w:r>
        <w:rPr>
          <w:rFonts w:ascii="Montserrat SemiBold" w:eastAsia="Calibri" w:hAnsi="Montserrat SemiBold" w:cs="Arial"/>
          <w:b/>
          <w:bCs/>
          <w:color w:val="262626"/>
          <w:sz w:val="24"/>
          <w:szCs w:val="20"/>
          <w:lang w:val="es-ES"/>
        </w:rPr>
        <w:lastRenderedPageBreak/>
        <w:t>4.2 Las personas de etnia negra y minorías étnicas, con diferencias culturales y lingüísticas, han mejorado su experiencia en el acceso a los servicios sanitarios y de asistencia social</w:t>
      </w:r>
    </w:p>
    <w:p w14:paraId="6135B1A5" w14:textId="77777777" w:rsidR="007470E5" w:rsidRDefault="007470E5" w:rsidP="00713DA0">
      <w:pPr>
        <w:spacing w:after="0" w:line="240" w:lineRule="auto"/>
        <w:contextualSpacing/>
        <w:rPr>
          <w:rFonts w:ascii="Montserrat" w:eastAsia="Calibri" w:hAnsi="Montserrat" w:cs="Arial"/>
          <w:b/>
          <w:bCs/>
          <w:color w:val="262626"/>
          <w:sz w:val="24"/>
          <w:szCs w:val="20"/>
        </w:rPr>
      </w:pPr>
    </w:p>
    <w:p w14:paraId="7330F898" w14:textId="7EFF1842" w:rsidR="00713DA0" w:rsidRPr="00713DA0" w:rsidRDefault="00713DA0" w:rsidP="00713DA0">
      <w:pPr>
        <w:spacing w:after="0" w:line="240" w:lineRule="auto"/>
        <w:contextualSpacing/>
        <w:rPr>
          <w:rFonts w:ascii="Montserrat" w:eastAsia="Calibri" w:hAnsi="Montserrat" w:cs="Arial"/>
          <w:b/>
          <w:bCs/>
          <w:color w:val="262626"/>
          <w:sz w:val="24"/>
          <w:szCs w:val="20"/>
        </w:rPr>
      </w:pPr>
      <w:r>
        <w:rPr>
          <w:rFonts w:ascii="Montserrat Light" w:eastAsia="Arial" w:hAnsi="Montserrat Light" w:cs="Arial"/>
          <w:color w:val="262626"/>
          <w:kern w:val="2"/>
          <w:sz w:val="24"/>
          <w:szCs w:val="20"/>
          <w:lang w:val="es-ES"/>
          <w14:ligatures w14:val="standardContextual"/>
        </w:rPr>
        <w:t>Siete temas emergieron:</w:t>
      </w:r>
    </w:p>
    <w:p w14:paraId="38BDC44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Idioma</w:t>
      </w:r>
    </w:p>
    <w:p w14:paraId="632072C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Cultura</w:t>
      </w:r>
    </w:p>
    <w:p w14:paraId="6EE0D81E"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Diseño de los servicios</w:t>
      </w:r>
    </w:p>
    <w:p w14:paraId="42CFF933"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Acceso a los servicios</w:t>
      </w:r>
    </w:p>
    <w:p w14:paraId="3F97EE92"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Salud mental y bienestar</w:t>
      </w:r>
    </w:p>
    <w:p w14:paraId="42A83719"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Estigma</w:t>
      </w:r>
    </w:p>
    <w:p w14:paraId="4A568EAD"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Miedo</w:t>
      </w:r>
    </w:p>
    <w:p w14:paraId="75AC5F75"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70D6F8D2" w14:textId="77777777" w:rsidR="00713DA0" w:rsidRPr="00713DA0" w:rsidRDefault="00713DA0"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Comentarios:</w:t>
      </w:r>
    </w:p>
    <w:p w14:paraId="02149118"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“La gente como yo no debería depender de la ayuda de amigos para traducir cuando va al médico”.</w:t>
      </w:r>
    </w:p>
    <w:p w14:paraId="6A0F027C" w14:textId="16AA651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“Siempre necesito ayuda, ya que los servicios no están preparados para ayudar a las personas cuyo inglés es su segundo idioma. Necesito ayuda de un trabajador de apoyo y de un intérprete”.</w:t>
      </w:r>
    </w:p>
    <w:p w14:paraId="5CDF34CD"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Pr>
          <w:rFonts w:ascii="Montserrat Light" w:eastAsia="Calibri" w:hAnsi="Montserrat Light" w:cs="Arial"/>
          <w:color w:val="262626"/>
          <w:sz w:val="24"/>
          <w:szCs w:val="20"/>
          <w:lang w:val="es-ES"/>
        </w:rPr>
        <w:t>“Dificultad para pedir cita porque la gente no entiende qué hacer”.</w:t>
      </w:r>
    </w:p>
    <w:p w14:paraId="1D40396E" w14:textId="48C97927" w:rsidR="00713DA0" w:rsidRDefault="00713DA0" w:rsidP="00743C67">
      <w:pPr>
        <w:numPr>
          <w:ilvl w:val="0"/>
          <w:numId w:val="11"/>
        </w:numPr>
        <w:spacing w:after="0" w:line="240" w:lineRule="auto"/>
        <w:contextualSpacing/>
        <w:rPr>
          <w:rFonts w:ascii="Montserrat Light" w:eastAsiaTheme="majorEastAsia" w:hAnsi="Montserrat Light" w:cs="Arial"/>
          <w:color w:val="262626"/>
          <w:sz w:val="24"/>
          <w:szCs w:val="24"/>
        </w:rPr>
      </w:pPr>
      <w:r>
        <w:rPr>
          <w:rFonts w:ascii="Montserrat Light" w:eastAsiaTheme="majorEastAsia" w:hAnsi="Montserrat Light" w:cs="Arial"/>
          <w:color w:val="262626"/>
          <w:sz w:val="24"/>
          <w:szCs w:val="24"/>
          <w:lang w:val="es-ES"/>
        </w:rPr>
        <w:t>“Ir al médico de cabecera es el último recurso para ellos, hay miedo a ir al médico”.</w:t>
      </w:r>
    </w:p>
    <w:p w14:paraId="7A29AAA9" w14:textId="77777777" w:rsidR="002C4A17" w:rsidRDefault="002C4A17" w:rsidP="002C4A17">
      <w:pPr>
        <w:pStyle w:val="Title"/>
        <w:rPr>
          <w:rFonts w:ascii="Montserrat" w:hAnsi="Montserrat"/>
          <w:sz w:val="36"/>
          <w:szCs w:val="36"/>
        </w:rPr>
      </w:pPr>
    </w:p>
    <w:p w14:paraId="35B725E2" w14:textId="18651D81" w:rsidR="00713DA0" w:rsidRPr="002C4A17" w:rsidRDefault="00713DA0" w:rsidP="002C4A17">
      <w:pPr>
        <w:pStyle w:val="Heading1"/>
        <w:rPr>
          <w:rFonts w:ascii="Montserrat" w:hAnsi="Montserrat"/>
          <w:color w:val="auto"/>
          <w:sz w:val="36"/>
          <w:szCs w:val="36"/>
        </w:rPr>
      </w:pPr>
      <w:bookmarkStart w:id="8" w:name="_Toc152748274"/>
      <w:bookmarkStart w:id="9" w:name="_Toc158802556"/>
      <w:r>
        <w:rPr>
          <w:rFonts w:ascii="Montserrat" w:hAnsi="Montserrat"/>
          <w:color w:val="auto"/>
          <w:sz w:val="36"/>
          <w:szCs w:val="36"/>
          <w:lang w:val="es-ES"/>
        </w:rPr>
        <w:t>LO QUE HICIMOS</w:t>
      </w:r>
      <w:bookmarkEnd w:id="8"/>
      <w:bookmarkEnd w:id="9"/>
    </w:p>
    <w:p w14:paraId="097026E1" w14:textId="77777777" w:rsidR="00A00B3F" w:rsidRPr="00A00B3F" w:rsidRDefault="00A00B3F" w:rsidP="00A00B3F">
      <w:pPr>
        <w:rPr>
          <w:rFonts w:ascii="Montserrat Light" w:hAnsi="Montserrat Light"/>
          <w:sz w:val="24"/>
          <w:szCs w:val="24"/>
        </w:rPr>
      </w:pPr>
    </w:p>
    <w:p w14:paraId="56D7E8DA" w14:textId="009557A8" w:rsidR="004B3DB4" w:rsidRDefault="00A00B3F" w:rsidP="00A00B3F">
      <w:pPr>
        <w:rPr>
          <w:rFonts w:ascii="Montserrat Light" w:hAnsi="Montserrat Light"/>
          <w:sz w:val="24"/>
          <w:szCs w:val="24"/>
        </w:rPr>
      </w:pPr>
      <w:r>
        <w:rPr>
          <w:rFonts w:ascii="Montserrat Light" w:hAnsi="Montserrat Light"/>
          <w:sz w:val="24"/>
          <w:szCs w:val="24"/>
          <w:lang w:val="es-ES"/>
        </w:rPr>
        <w:t xml:space="preserve">Hemos tenido en cuenta los comentarios recibidos durante el periodo de consulta, que confirman que los resultados propuestos se centran en las prioridades adecuadas para los usuarios de nuestros servicios. </w:t>
      </w:r>
    </w:p>
    <w:p w14:paraId="3917F380" w14:textId="313BCA96" w:rsidR="004B3DB4" w:rsidRDefault="00060018" w:rsidP="00A00B3F">
      <w:pPr>
        <w:rPr>
          <w:rFonts w:ascii="Montserrat Light" w:hAnsi="Montserrat Light"/>
          <w:kern w:val="2"/>
          <w:sz w:val="24"/>
          <w:szCs w:val="24"/>
          <w14:ligatures w14:val="standardContextual"/>
        </w:rPr>
      </w:pPr>
      <w:r>
        <w:rPr>
          <w:rFonts w:ascii="Montserrat Light" w:hAnsi="Montserrat Light"/>
          <w:sz w:val="24"/>
          <w:szCs w:val="24"/>
          <w:lang w:val="es-ES"/>
        </w:rPr>
        <w:t xml:space="preserve">Sin embargo, </w:t>
      </w:r>
      <w:r>
        <w:rPr>
          <w:rFonts w:ascii="Montserrat Light" w:hAnsi="Montserrat Light"/>
          <w:kern w:val="2"/>
          <w:sz w:val="24"/>
          <w:szCs w:val="24"/>
          <w:lang w:val="es-ES"/>
          <w14:ligatures w14:val="standardContextual"/>
        </w:rPr>
        <w:t>las respuestas de los grupos de personas mayores sugieren que muchas personas no saben lo que significa “exclusión digital”. Hemos modificado la redacción del Resultado de Igualdad 1 para reflejar ese comentario.</w:t>
      </w:r>
    </w:p>
    <w:p w14:paraId="5E6E50EB" w14:textId="15613D80" w:rsidR="003E3A90" w:rsidRDefault="003E3A90" w:rsidP="00A00B3F">
      <w:pPr>
        <w:rPr>
          <w:rFonts w:ascii="Montserrat Light" w:hAnsi="Montserrat Light"/>
          <w:kern w:val="2"/>
          <w:sz w:val="24"/>
          <w:szCs w:val="24"/>
          <w14:ligatures w14:val="standardContextual"/>
        </w:rPr>
      </w:pPr>
      <w:r>
        <w:rPr>
          <w:rFonts w:ascii="Montserrat Light" w:hAnsi="Montserrat Light"/>
          <w:kern w:val="2"/>
          <w:sz w:val="24"/>
          <w:szCs w:val="24"/>
          <w:lang w:val="es-ES"/>
          <w14:ligatures w14:val="standardContextual"/>
        </w:rPr>
        <w:t xml:space="preserve">Los resultados de igualdad modificados se describen a continuación: </w:t>
      </w:r>
    </w:p>
    <w:p w14:paraId="4ECC803F" w14:textId="77777777" w:rsidR="002810F0" w:rsidRDefault="002810F0" w:rsidP="004B3DB4">
      <w:pPr>
        <w:spacing w:after="0" w:line="240" w:lineRule="auto"/>
        <w:rPr>
          <w:rFonts w:ascii="Montserrat Light" w:eastAsia="Calibri" w:hAnsi="Montserrat Light" w:cs="Arial"/>
          <w:b/>
          <w:bCs/>
          <w:i/>
          <w:iCs/>
          <w:color w:val="262626"/>
          <w:sz w:val="24"/>
          <w:szCs w:val="20"/>
        </w:rPr>
      </w:pPr>
    </w:p>
    <w:p w14:paraId="12D8F7F8" w14:textId="54A4BBFB"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Resultado de Igualdad 1</w:t>
      </w:r>
    </w:p>
    <w:p w14:paraId="1C61DB52" w14:textId="77777777" w:rsidR="002810F0" w:rsidRPr="002810F0" w:rsidRDefault="002810F0" w:rsidP="004B3DB4">
      <w:pPr>
        <w:spacing w:after="0" w:line="240" w:lineRule="auto"/>
        <w:rPr>
          <w:rFonts w:ascii="Montserrat Light" w:eastAsia="Calibri" w:hAnsi="Montserrat Light" w:cs="Arial"/>
          <w:b/>
          <w:bCs/>
          <w:color w:val="262626"/>
          <w:sz w:val="24"/>
          <w:szCs w:val="20"/>
        </w:rPr>
      </w:pPr>
    </w:p>
    <w:p w14:paraId="28AD9473" w14:textId="27093A99"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Las personas mayores que experimentan barreras para acceder a los servicios de salud y asistencia social basados en Internet tienen formas alternativas de acceder a los servicios.</w:t>
      </w:r>
    </w:p>
    <w:p w14:paraId="2624D1D3" w14:textId="77777777" w:rsidR="004B3DB4" w:rsidRPr="004B3DB4" w:rsidRDefault="004B3DB4" w:rsidP="004B3DB4">
      <w:pPr>
        <w:spacing w:after="0" w:line="240" w:lineRule="auto"/>
        <w:rPr>
          <w:rFonts w:ascii="Montserrat Light" w:eastAsia="Calibri" w:hAnsi="Montserrat Light" w:cs="Arial"/>
          <w:color w:val="262626"/>
          <w:sz w:val="24"/>
          <w:szCs w:val="20"/>
        </w:rPr>
      </w:pPr>
    </w:p>
    <w:p w14:paraId="366B7CEF" w14:textId="77777777" w:rsidR="002810F0" w:rsidRDefault="002810F0" w:rsidP="004B3DB4">
      <w:pPr>
        <w:spacing w:after="0" w:line="240" w:lineRule="auto"/>
        <w:rPr>
          <w:rFonts w:ascii="Montserrat Light" w:eastAsia="Calibri" w:hAnsi="Montserrat Light" w:cs="Arial"/>
          <w:b/>
          <w:bCs/>
          <w:color w:val="262626"/>
          <w:sz w:val="24"/>
          <w:szCs w:val="20"/>
        </w:rPr>
      </w:pPr>
    </w:p>
    <w:p w14:paraId="6D926185" w14:textId="3DF33600" w:rsidR="004B3DB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Resultado de igualdad 2</w:t>
      </w:r>
    </w:p>
    <w:p w14:paraId="15E676BF" w14:textId="77777777" w:rsidR="002810F0" w:rsidRPr="00E21394" w:rsidRDefault="002810F0" w:rsidP="004B3DB4">
      <w:pPr>
        <w:spacing w:after="0" w:line="240" w:lineRule="auto"/>
        <w:rPr>
          <w:rFonts w:ascii="Montserrat Light" w:eastAsia="Calibri" w:hAnsi="Montserrat Light" w:cs="Arial"/>
          <w:b/>
          <w:bCs/>
          <w:color w:val="262626"/>
          <w:sz w:val="24"/>
          <w:szCs w:val="20"/>
        </w:rPr>
      </w:pPr>
    </w:p>
    <w:p w14:paraId="23B40B4D" w14:textId="77777777" w:rsidR="004B3DB4" w:rsidRPr="00E21394" w:rsidRDefault="004B3DB4" w:rsidP="004B3DB4">
      <w:pPr>
        <w:spacing w:after="0" w:line="240" w:lineRule="auto"/>
        <w:rPr>
          <w:rFonts w:ascii="Montserrat Light" w:eastAsia="Calibri" w:hAnsi="Montserrat Light" w:cs="Arial"/>
          <w:b/>
          <w:bCs/>
          <w:color w:val="262626"/>
          <w:sz w:val="24"/>
          <w:szCs w:val="20"/>
        </w:rPr>
      </w:pPr>
      <w:r>
        <w:rPr>
          <w:rFonts w:ascii="Montserrat Light" w:eastAsia="Calibri" w:hAnsi="Montserrat Light" w:cs="Arial"/>
          <w:b/>
          <w:bCs/>
          <w:color w:val="262626"/>
          <w:sz w:val="24"/>
          <w:szCs w:val="20"/>
          <w:lang w:val="es-ES"/>
        </w:rPr>
        <w:t>Las personas de etnia negra y minorías étnicas con diferencias culturales y lingüísticas han mejorado su experiencia en el acceso a los servicios sanitarios y sociales.</w:t>
      </w:r>
    </w:p>
    <w:p w14:paraId="443163BE" w14:textId="77777777" w:rsidR="002C4A17" w:rsidRDefault="002C4A17" w:rsidP="002C4A17">
      <w:pPr>
        <w:pStyle w:val="Title"/>
        <w:rPr>
          <w:rFonts w:ascii="Montserrat" w:hAnsi="Montserrat"/>
          <w:sz w:val="36"/>
          <w:szCs w:val="36"/>
        </w:rPr>
      </w:pPr>
    </w:p>
    <w:p w14:paraId="29E0D87F" w14:textId="007EC17F" w:rsidR="004B3DB4" w:rsidRPr="002C4A17" w:rsidRDefault="002810F0" w:rsidP="002C4A17">
      <w:pPr>
        <w:pStyle w:val="Heading1"/>
        <w:rPr>
          <w:rFonts w:ascii="Montserrat" w:hAnsi="Montserrat"/>
          <w:color w:val="auto"/>
          <w:sz w:val="36"/>
          <w:szCs w:val="36"/>
        </w:rPr>
      </w:pPr>
      <w:bookmarkStart w:id="10" w:name="_Toc158802557"/>
      <w:r>
        <w:rPr>
          <w:rFonts w:ascii="Montserrat" w:hAnsi="Montserrat"/>
          <w:color w:val="auto"/>
          <w:sz w:val="36"/>
          <w:szCs w:val="36"/>
          <w:lang w:val="es-ES"/>
        </w:rPr>
        <w:t>CONSECUCIÓN DE LOS RESULTADOS</w:t>
      </w:r>
      <w:bookmarkEnd w:id="10"/>
    </w:p>
    <w:p w14:paraId="33E61BDB" w14:textId="77777777" w:rsidR="004B3DB4" w:rsidRDefault="004B3DB4" w:rsidP="004B3DB4"/>
    <w:p w14:paraId="1BFFA62F" w14:textId="62973907" w:rsidR="00CA0457" w:rsidRDefault="002810F0" w:rsidP="004B3DB4">
      <w:pPr>
        <w:rPr>
          <w:rFonts w:ascii="Montserrat Light" w:hAnsi="Montserrat Light"/>
          <w:sz w:val="24"/>
          <w:szCs w:val="24"/>
        </w:rPr>
      </w:pPr>
      <w:r>
        <w:rPr>
          <w:rFonts w:ascii="Montserrat Light" w:hAnsi="Montserrat Light"/>
          <w:sz w:val="24"/>
          <w:szCs w:val="24"/>
          <w:lang w:val="es-ES"/>
        </w:rPr>
        <w:t xml:space="preserve">Queremos trabajar con nuestras comunidades para alcanzar nuestros resultados. En la segunda fase de la consulta pública, queremos conocer su opinión sobre las acciones que podríamos emprender juntos para alcanzar los resultados. A </w:t>
      </w:r>
      <w:proofErr w:type="gramStart"/>
      <w:r>
        <w:rPr>
          <w:rFonts w:ascii="Montserrat Light" w:hAnsi="Montserrat Light"/>
          <w:sz w:val="24"/>
          <w:szCs w:val="24"/>
          <w:lang w:val="es-ES"/>
        </w:rPr>
        <w:t>continuación</w:t>
      </w:r>
      <w:proofErr w:type="gramEnd"/>
      <w:r>
        <w:rPr>
          <w:rFonts w:ascii="Montserrat Light" w:hAnsi="Montserrat Light"/>
          <w:sz w:val="24"/>
          <w:szCs w:val="24"/>
          <w:lang w:val="es-ES"/>
        </w:rPr>
        <w:t xml:space="preserve"> encontrará algunos ejemplos de acciones de alto nivel sugeridas:</w:t>
      </w:r>
    </w:p>
    <w:p w14:paraId="179DA7ED" w14:textId="77777777" w:rsidR="00060018" w:rsidRDefault="00060018" w:rsidP="004B3DB4">
      <w:pPr>
        <w:rPr>
          <w:rFonts w:ascii="Montserrat Light" w:hAnsi="Montserrat Light"/>
          <w:sz w:val="24"/>
          <w:szCs w:val="24"/>
        </w:rPr>
      </w:pPr>
    </w:p>
    <w:p w14:paraId="2FA88A64" w14:textId="794DAD0D" w:rsidR="00CA0457" w:rsidRDefault="00CA0457" w:rsidP="004B3DB4">
      <w:pPr>
        <w:rPr>
          <w:rFonts w:ascii="Montserrat Light" w:hAnsi="Montserrat Light"/>
          <w:b/>
          <w:bCs/>
          <w:sz w:val="24"/>
          <w:szCs w:val="24"/>
        </w:rPr>
      </w:pPr>
      <w:r>
        <w:rPr>
          <w:rFonts w:ascii="Montserrat Light" w:hAnsi="Montserrat Light"/>
          <w:b/>
          <w:bCs/>
          <w:sz w:val="24"/>
          <w:szCs w:val="24"/>
          <w:lang w:val="es-ES"/>
        </w:rPr>
        <w:t>Acciones para el resultado 1 de igualdad</w:t>
      </w:r>
    </w:p>
    <w:p w14:paraId="51BE8F27" w14:textId="2CA65C34"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es-ES"/>
        </w:rPr>
        <w:t>Comunicar y promover los métodos tradicionales de acceso a los servicios con las personas mayores.</w:t>
      </w:r>
    </w:p>
    <w:p w14:paraId="7069C1BA" w14:textId="3FE7955F"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lang w:val="es-ES"/>
        </w:rPr>
        <w:t>Implicar a las personas mayores en el diseño de futuros servicios para garantizar que sean plenamente accesibles.</w:t>
      </w:r>
    </w:p>
    <w:p w14:paraId="2E9B93C7" w14:textId="69EEF482" w:rsidR="00060018" w:rsidRDefault="00060018" w:rsidP="00CA0457">
      <w:pPr>
        <w:pStyle w:val="ListParagraph"/>
        <w:numPr>
          <w:ilvl w:val="0"/>
          <w:numId w:val="12"/>
        </w:numPr>
        <w:rPr>
          <w:rFonts w:ascii="Montserrat Light" w:hAnsi="Montserrat Light"/>
          <w:sz w:val="24"/>
          <w:szCs w:val="24"/>
        </w:rPr>
      </w:pPr>
      <w:r>
        <w:rPr>
          <w:rFonts w:ascii="Montserrat Light" w:hAnsi="Montserrat Light"/>
          <w:sz w:val="24"/>
          <w:szCs w:val="24"/>
          <w:lang w:val="es-ES"/>
        </w:rPr>
        <w:t>Trabajar con nuestro personal para que la tecnología se utilice adecuadamente con los usuarios de nuestros servicios.</w:t>
      </w:r>
    </w:p>
    <w:p w14:paraId="63D72A8D" w14:textId="7EAD04B5" w:rsidR="00CA0457" w:rsidRPr="00CA0457" w:rsidRDefault="00CA0457" w:rsidP="004B3DB4">
      <w:pPr>
        <w:rPr>
          <w:rFonts w:ascii="Montserrat Light" w:hAnsi="Montserrat Light"/>
          <w:b/>
          <w:bCs/>
          <w:sz w:val="24"/>
          <w:szCs w:val="24"/>
        </w:rPr>
      </w:pPr>
      <w:r>
        <w:rPr>
          <w:rFonts w:ascii="Montserrat Light" w:hAnsi="Montserrat Light"/>
          <w:b/>
          <w:bCs/>
          <w:sz w:val="24"/>
          <w:szCs w:val="24"/>
          <w:lang w:val="es-ES"/>
        </w:rPr>
        <w:t>Acciones para el resultado 2 de igualdad</w:t>
      </w:r>
    </w:p>
    <w:p w14:paraId="6C758CC5" w14:textId="40482106" w:rsidR="004B3DB4" w:rsidRPr="00060018" w:rsidRDefault="00CA0457" w:rsidP="00CA0457">
      <w:pPr>
        <w:pStyle w:val="ListParagraph"/>
        <w:numPr>
          <w:ilvl w:val="0"/>
          <w:numId w:val="13"/>
        </w:numPr>
        <w:rPr>
          <w:rFonts w:ascii="Montserrat Light" w:hAnsi="Montserrat Light"/>
          <w:sz w:val="24"/>
          <w:szCs w:val="24"/>
        </w:rPr>
      </w:pPr>
      <w:r>
        <w:rPr>
          <w:rFonts w:ascii="Montserrat Light" w:hAnsi="Montserrat Light"/>
          <w:sz w:val="24"/>
          <w:szCs w:val="24"/>
          <w:lang w:val="es-ES"/>
        </w:rPr>
        <w:t>Garantizar que la comunicación formal relativa a las necesidades sanitarias y asistenciales se proporcione en los formatos preferidos.</w:t>
      </w:r>
    </w:p>
    <w:p w14:paraId="29A3D1B7" w14:textId="2BD8A7EB" w:rsidR="00CA0457" w:rsidRPr="00060018" w:rsidRDefault="00060018" w:rsidP="00CA0457">
      <w:pPr>
        <w:pStyle w:val="ListParagraph"/>
        <w:numPr>
          <w:ilvl w:val="0"/>
          <w:numId w:val="13"/>
        </w:numPr>
        <w:rPr>
          <w:rFonts w:ascii="Montserrat Light" w:hAnsi="Montserrat Light"/>
          <w:sz w:val="24"/>
          <w:szCs w:val="24"/>
        </w:rPr>
      </w:pPr>
      <w:r>
        <w:rPr>
          <w:rFonts w:ascii="Montserrat Light" w:hAnsi="Montserrat Light"/>
          <w:sz w:val="24"/>
          <w:szCs w:val="24"/>
          <w:lang w:val="es-ES"/>
        </w:rPr>
        <w:t>Trabajar con el personal para mejorar el acceso a los servicios de traducción e interpretación.</w:t>
      </w:r>
    </w:p>
    <w:p w14:paraId="03F3398F" w14:textId="55A789C3" w:rsidR="00CA0457" w:rsidRDefault="00CA0457" w:rsidP="00CA0457">
      <w:pPr>
        <w:pStyle w:val="ListParagraph"/>
        <w:numPr>
          <w:ilvl w:val="0"/>
          <w:numId w:val="13"/>
        </w:numPr>
        <w:rPr>
          <w:rFonts w:ascii="Montserrat Light" w:hAnsi="Montserrat Light"/>
        </w:rPr>
      </w:pPr>
      <w:r>
        <w:rPr>
          <w:rFonts w:ascii="Montserrat Light" w:hAnsi="Montserrat Light"/>
          <w:sz w:val="24"/>
          <w:szCs w:val="24"/>
          <w:lang w:val="es-ES"/>
        </w:rPr>
        <w:t>Trabajar estrechamente con nuestras comunidades de etnia negra y minorías étnicas para garantizar que nuestros servicios entienden y responden a las diferentes culturas</w:t>
      </w:r>
      <w:r>
        <w:rPr>
          <w:rFonts w:ascii="Montserrat Light" w:hAnsi="Montserrat Light"/>
          <w:lang w:val="es-ES"/>
        </w:rPr>
        <w:t>.</w:t>
      </w:r>
    </w:p>
    <w:p w14:paraId="36707AAD" w14:textId="77777777" w:rsidR="00D814E3" w:rsidRPr="00CA0457" w:rsidRDefault="00D814E3" w:rsidP="00D814E3">
      <w:pPr>
        <w:pStyle w:val="ListParagraph"/>
        <w:ind w:left="828"/>
        <w:rPr>
          <w:rFonts w:ascii="Montserrat Light" w:hAnsi="Montserrat Light"/>
        </w:rPr>
      </w:pPr>
    </w:p>
    <w:p w14:paraId="61536DF6" w14:textId="528AC681" w:rsidR="004B3DB4" w:rsidRPr="002C4A17" w:rsidRDefault="003E3A90" w:rsidP="002C4A17">
      <w:pPr>
        <w:pStyle w:val="Heading1"/>
        <w:rPr>
          <w:rFonts w:ascii="Montserrat" w:hAnsi="Montserrat"/>
          <w:color w:val="auto"/>
          <w:sz w:val="36"/>
          <w:szCs w:val="36"/>
        </w:rPr>
      </w:pPr>
      <w:bookmarkStart w:id="11" w:name="_Toc152748276"/>
      <w:bookmarkStart w:id="12" w:name="_Toc158802558"/>
      <w:r>
        <w:rPr>
          <w:rFonts w:ascii="Montserrat" w:hAnsi="Montserrat"/>
          <w:color w:val="auto"/>
          <w:sz w:val="36"/>
          <w:szCs w:val="36"/>
          <w:lang w:val="es-ES"/>
        </w:rPr>
        <w:t>PASOS SIGUIENTES</w:t>
      </w:r>
      <w:bookmarkEnd w:id="11"/>
      <w:bookmarkEnd w:id="12"/>
    </w:p>
    <w:p w14:paraId="689EA5FD" w14:textId="77777777" w:rsidR="003E3A90" w:rsidRDefault="003E3A90" w:rsidP="003E3A90"/>
    <w:p w14:paraId="68C28CB2" w14:textId="5AAF4EFB" w:rsidR="00E21394" w:rsidRPr="00E87016" w:rsidRDefault="003E3A90" w:rsidP="003E3A90">
      <w:pPr>
        <w:rPr>
          <w:rFonts w:ascii="Montserrat Light" w:hAnsi="Montserrat Light"/>
        </w:rPr>
      </w:pPr>
      <w:r>
        <w:rPr>
          <w:rFonts w:ascii="Montserrat Light" w:hAnsi="Montserrat Light"/>
          <w:sz w:val="24"/>
          <w:szCs w:val="24"/>
          <w:lang w:val="es-ES"/>
        </w:rPr>
        <w:t xml:space="preserve">Nuestra segunda fase de consulta pública comenzará el 22 de enero y finalizará el 1 de marzo de 2024. De nuevo, incluirá una encuesta en línea y contactos presenciales con grupos comunitarios locales. </w:t>
      </w:r>
      <w:r>
        <w:rPr>
          <w:rFonts w:ascii="Montserrat Light" w:hAnsi="Montserrat Light"/>
          <w:color w:val="262626"/>
          <w:sz w:val="24"/>
          <w:szCs w:val="24"/>
          <w:lang w:val="es-ES"/>
        </w:rPr>
        <w:t>Esta será una oportunidad para que los usuarios de nuestros servicios y las partes interesadas consideren el borrador de Resultados y nuestras acciones propuestas</w:t>
      </w:r>
      <w:r>
        <w:rPr>
          <w:rFonts w:ascii="Montserrat Light" w:hAnsi="Montserrat Light"/>
          <w:color w:val="262626"/>
          <w:sz w:val="24"/>
          <w:szCs w:val="20"/>
          <w:lang w:val="es-ES"/>
        </w:rPr>
        <w:t>.</w:t>
      </w:r>
    </w:p>
    <w:sectPr w:rsidR="00E21394" w:rsidRPr="00E87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7124F"/>
    <w:rsid w:val="002810F0"/>
    <w:rsid w:val="002C4A17"/>
    <w:rsid w:val="002E51B3"/>
    <w:rsid w:val="00305815"/>
    <w:rsid w:val="003204CE"/>
    <w:rsid w:val="003E3A90"/>
    <w:rsid w:val="004B3DB4"/>
    <w:rsid w:val="005925ED"/>
    <w:rsid w:val="006C11F6"/>
    <w:rsid w:val="006D0A0C"/>
    <w:rsid w:val="006D1C63"/>
    <w:rsid w:val="006E4966"/>
    <w:rsid w:val="006F4220"/>
    <w:rsid w:val="00713DA0"/>
    <w:rsid w:val="00743C67"/>
    <w:rsid w:val="007470E5"/>
    <w:rsid w:val="00760AF3"/>
    <w:rsid w:val="0077030E"/>
    <w:rsid w:val="00792658"/>
    <w:rsid w:val="007C6C43"/>
    <w:rsid w:val="008532FF"/>
    <w:rsid w:val="009351B3"/>
    <w:rsid w:val="00945C7D"/>
    <w:rsid w:val="009A3E7E"/>
    <w:rsid w:val="00A00B3F"/>
    <w:rsid w:val="00B20450"/>
    <w:rsid w:val="00B2337C"/>
    <w:rsid w:val="00B5563E"/>
    <w:rsid w:val="00B91EE1"/>
    <w:rsid w:val="00BF0A3B"/>
    <w:rsid w:val="00CA0457"/>
    <w:rsid w:val="00CF03DB"/>
    <w:rsid w:val="00D814E3"/>
    <w:rsid w:val="00E21394"/>
    <w:rsid w:val="00E2161E"/>
    <w:rsid w:val="00E87016"/>
    <w:rsid w:val="00EE5CCB"/>
    <w:rsid w:val="00F44374"/>
    <w:rsid w:val="00F7417F"/>
    <w:rsid w:val="00F96F54"/>
    <w:rsid w:val="00FA7BC8"/>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1039</Words>
  <Characters>6457</Characters>
  <Application>Microsoft Office Word</Application>
  <DocSecurity>0</DocSecurity>
  <Lines>403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Mollie McVey</cp:lastModifiedBy>
  <cp:revision>4</cp:revision>
  <dcterms:created xsi:type="dcterms:W3CDTF">2024-01-18T13:59:00Z</dcterms:created>
  <dcterms:modified xsi:type="dcterms:W3CDTF">2024-02-14T11:40:00Z</dcterms:modified>
</cp:coreProperties>
</file>